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D3" w:rsidRPr="007D2410" w:rsidRDefault="00E03AD3" w:rsidP="007D2410">
      <w:pPr>
        <w:spacing w:after="0" w:line="36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7D2410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DELLA SALUTE</w:t>
      </w:r>
    </w:p>
    <w:p w:rsidR="00E03AD3" w:rsidRPr="007D2410" w:rsidRDefault="00E03AD3" w:rsidP="007D2410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7D2410">
        <w:rPr>
          <w:rFonts w:eastAsia="Times New Roman" w:cs="Times New Roman"/>
          <w:color w:val="000000"/>
          <w:sz w:val="24"/>
          <w:szCs w:val="24"/>
          <w:lang w:eastAsia="it-IT"/>
        </w:rPr>
        <w:t>DECRETO 19 luglio 2016, n. 165 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60" w:lineRule="auto"/>
        <w:jc w:val="both"/>
        <w:textAlignment w:val="baseline"/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</w:pPr>
      <w:proofErr w:type="gramStart"/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Regolamento  recante</w:t>
      </w:r>
      <w:proofErr w:type="gramEnd"/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 la  determinazione   dei   parametri   per   la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liquidazione da parte di un 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o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rgano giurisdizionale dei  compensi  per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le  professioni  regolamentate,  ai   sensi   dell'articolo   9   del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decreto-legge 24 gennaio 2012, n. 1, convertito,  con  modificazioni,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dalla legge 24 marzo 2012,  n.  27.  </w:t>
      </w:r>
      <w:proofErr w:type="gramStart"/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Medici  veterinari</w:t>
      </w:r>
      <w:proofErr w:type="gramEnd"/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,  farmacisti,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psicologi, infermieri, ostetriche e tecnici  sanitari  di  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>radiologia</w:t>
      </w:r>
      <w:r w:rsidR="007D2410"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b/>
          <w:bCs/>
          <w:i/>
          <w:color w:val="000000"/>
          <w:sz w:val="24"/>
          <w:szCs w:val="24"/>
          <w:lang w:eastAsia="it-IT"/>
        </w:rPr>
        <w:t xml:space="preserve">medica. (16G00177) </w:t>
      </w:r>
    </w:p>
    <w:p w:rsidR="00E03AD3" w:rsidRPr="007D2410" w:rsidRDefault="00E03AD3" w:rsidP="007D2410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7D2410">
        <w:rPr>
          <w:rFonts w:eastAsia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 xml:space="preserve">(GU n.201 del 29-8-2016 - </w:t>
      </w:r>
      <w:proofErr w:type="spellStart"/>
      <w:r w:rsidRPr="007D2410">
        <w:rPr>
          <w:rFonts w:eastAsia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Suppl</w:t>
      </w:r>
      <w:proofErr w:type="spellEnd"/>
      <w:r w:rsidRPr="007D2410">
        <w:rPr>
          <w:rFonts w:eastAsia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. Ordinario n. 38)</w:t>
      </w:r>
    </w:p>
    <w:p w:rsidR="00E03AD3" w:rsidRPr="007D2410" w:rsidRDefault="00E03AD3" w:rsidP="007D2410">
      <w:pPr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it-IT"/>
        </w:rPr>
      </w:pPr>
      <w:r w:rsidRPr="007D241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eastAsia="Times New Roman" w:cs="Courier New"/>
          <w:color w:val="99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990000"/>
          <w:sz w:val="24"/>
          <w:szCs w:val="24"/>
          <w:lang w:eastAsia="it-IT"/>
        </w:rPr>
        <w:t xml:space="preserve"> Vigente al: 30-8-2016  </w:t>
      </w:r>
    </w:p>
    <w:p w:rsidR="007D2410" w:rsidRDefault="00E03AD3" w:rsidP="007D2410">
      <w:pPr>
        <w:spacing w:after="0" w:line="360" w:lineRule="auto"/>
        <w:textAlignment w:val="baseline"/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 w:rsidRPr="007D241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 </w:t>
      </w:r>
    </w:p>
    <w:p w:rsidR="00E03AD3" w:rsidRPr="007D2410" w:rsidRDefault="00E03AD3" w:rsidP="007D2410">
      <w:pPr>
        <w:spacing w:after="0" w:line="36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IL MINISTRO DELLA SALUTE</w:t>
      </w:r>
    </w:p>
    <w:p w:rsid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Visto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l'articolo  9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del  decreto-legge  24  gennaio  2012,  n.  1,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convertito, con modificazioni, dalla legge 24 marzo 2012, n. 27; 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Visti i pareri favorevoli del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Consiglio superiore di sanità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del 23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aprile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2013,  del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9  luglio  2013  e  del  15  luglio  2014  per  la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determinazione dei parametri per  la  liquidazione  da  parte  di  un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organo giurisdizionale dei compensi per le professioni regolamentate,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rispettivamente,  dei  medici  veterinari,   farmacisti,   psicologi,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infermieri, ostetriche e tecnici sanitari di radiologia medica;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Visto l'articolo 17, comma 3, della legge 23 agosto 1988, n. 400;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Udito il parere del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Consiglio  di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Stato,  espresso  dalla  Sezione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consultiva per gli atti normativi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nell'Adunanza  di  Sezione  del  9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ottobre 2014 n. 1957/2014;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Vista la comunicazione alla Presidenza del Consiglio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dei  ministri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,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 norma dell'articolo 17, comma 3 della citata legge n. 400/1988, con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nota </w:t>
      </w:r>
      <w:proofErr w:type="spell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prot</w:t>
      </w:r>
      <w:proofErr w:type="spell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. n. 0001997 del 22 marzo 2016, e la nota </w:t>
      </w:r>
      <w:proofErr w:type="spell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prot</w:t>
      </w:r>
      <w:proofErr w:type="spell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.  n.  0004412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del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20 aprile 2016 della Presidenza del Consiglio  dei  ministri,  di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presa d'atto della predetta comunicazione;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Adotta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il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seguente regolamento: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Art. 1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Ambito di applicazione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1. 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Il  presente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regolamento  detta   le   disposizioni   per   la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determinazione,  nel  caso  di  liquidazione  da  parte   dell'organo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giurisdizionale,  dei  compensi  da  corrispondere   alle   categorie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professionali   dei   medici   veterinari,   farmacisti,   psicologi,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infermieri, ostetriche e tecnici sanitari di radiologia medica e  non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comporta modifiche alle competenze attribuite dalle normative vigenti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 tali figure.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lastRenderedPageBreak/>
        <w:t>Art. 2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Parametri generali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FF7EB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In caso di liquidazione da part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e dell'organo giurisdizionale,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compensi da corrispondere alle categor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ie di cui all'articolo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1  sono</w:t>
      </w:r>
      <w:proofErr w:type="gramEnd"/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determinati secondo i parametri specifici indicati  dall'articolo  3,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in relazione alle prestazioni e con riferimento  al  relativo  valore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medio liquidabile individuati nelle tabelle di cui all'allegato 1. </w:t>
      </w:r>
    </w:p>
    <w:p w:rsidR="00E03AD3" w:rsidRPr="007D2410" w:rsidRDefault="00E03AD3" w:rsidP="00C94E7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Per le prestazioni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non espressamente individuate nelle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tabelle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di cui all'allegato 1 il compenso 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>è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determinato in via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analogica,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sulla base dei parametri specifici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indicati nell'articolo 3 e con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le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maggiorazioni previste nell'articolo 4. </w:t>
      </w:r>
    </w:p>
    <w:p w:rsidR="00E03AD3" w:rsidRPr="007D2410" w:rsidRDefault="00E03AD3" w:rsidP="0098739C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Nei compensi non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sono comprese le spese da rimborsare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secondo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qualsiasi modalit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>à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'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, inclusa quella concordata in modo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forfettario.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Non sono altres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ì compresi oneri e contributi dovuti a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qualsiasi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titolo. I co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sti degli ausiliari incaricati dal professionista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sono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considerati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tra </w:t>
      </w:r>
      <w:r w:rsidR="007D2410">
        <w:rPr>
          <w:rFonts w:eastAsia="Times New Roman" w:cs="Courier New"/>
          <w:color w:val="000000"/>
          <w:sz w:val="24"/>
          <w:szCs w:val="24"/>
          <w:lang w:eastAsia="it-IT"/>
        </w:rPr>
        <w:t>le s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pese dello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stesso.   Il   provvedimento   di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liquidazione indica in modo dis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tinto l'ammontare del compenso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dovuto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al professionista, delle spese, degli oneri e dei contributi, nonch</w:t>
      </w:r>
      <w:r w:rsidR="007D241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é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il totale omnicomprensivo di tali voci. </w:t>
      </w:r>
    </w:p>
    <w:p w:rsidR="008F06A0" w:rsidRDefault="00E03AD3" w:rsidP="00FC1CF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I compensi liquidati comp</w:t>
      </w:r>
      <w:r w:rsidR="007D241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rendono l'intero corrispettivo per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la</w:t>
      </w:r>
      <w:r w:rsidR="007D241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prestazione professionale,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incluse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le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attivit</w:t>
      </w:r>
      <w:r w:rsidR="007D2410" w:rsidRPr="008F06A0">
        <w:rPr>
          <w:rFonts w:eastAsia="Times New Roman" w:cs="Courier New"/>
          <w:color w:val="000000"/>
          <w:sz w:val="24"/>
          <w:szCs w:val="24"/>
          <w:lang w:eastAsia="it-IT"/>
        </w:rPr>
        <w:t>à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accessorie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alla</w:t>
      </w:r>
      <w:r w:rsidR="007D241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stessa. </w:t>
      </w:r>
      <w:r w:rsidR="007D241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8F06A0" w:rsidRDefault="007D2410" w:rsidP="00FC1CFE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Nel caso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di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incarico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collegiale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il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compenso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è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unico, ma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l'organo giurisdizionale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può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aumen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tarlo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fino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a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>l doppio.  Quando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l'incarico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professionale  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è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>conferito   a   una   societ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à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  tra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>professionisti, si applica il compenso spettante a uno solo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>di essi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anche se la stessa prestazione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è 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>eseguita da pi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ù</w:t>
      </w:r>
      <w:r w:rsidR="00E03AD3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soci. </w:t>
      </w:r>
    </w:p>
    <w:p w:rsidR="00E03AD3" w:rsidRPr="008F06A0" w:rsidRDefault="00E03AD3" w:rsidP="00D46F00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Per gli incarichi non conclusi, o costituenti prosecuzione di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precedenti incarichi, </w:t>
      </w:r>
      <w:proofErr w:type="gramStart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si  tiene</w:t>
      </w:r>
      <w:proofErr w:type="gramEnd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 conto  dell'opera   effettivamente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svolta. </w:t>
      </w:r>
    </w:p>
    <w:p w:rsidR="00E03AD3" w:rsidRPr="008F06A0" w:rsidRDefault="00E03AD3" w:rsidP="006B21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L'assenza di prova del preventivo di massima di cui all'articolo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9, comma 3, terzo periodo, del decreto-legge 24 gennaio </w:t>
      </w:r>
      <w:proofErr w:type="gramStart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2012,  n.</w:t>
      </w:r>
      <w:proofErr w:type="gramEnd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 1,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convertito, con modificazioni, dalla </w:t>
      </w:r>
      <w:proofErr w:type="gramStart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legge  24</w:t>
      </w:r>
      <w:proofErr w:type="gramEnd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 marzo  2012,  n.  27,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costituisce elemento di </w:t>
      </w:r>
      <w:proofErr w:type="gramStart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valutazione  negativa</w:t>
      </w:r>
      <w:proofErr w:type="gramEnd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 da  parte  dell'organo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giurisdizionale per la liquidazione del compenso. </w:t>
      </w:r>
    </w:p>
    <w:p w:rsidR="00E03AD3" w:rsidRPr="007D2410" w:rsidRDefault="00E03AD3" w:rsidP="008F06A0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I  valori</w:t>
      </w:r>
      <w:proofErr w:type="gramEnd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 indicati,  ai  fini  della  liquidazione,   di   cui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all'allegato 1, espressi in termini numerici o percentuali, non  sono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vincolanti per la liquidazione stessa. </w:t>
      </w:r>
    </w:p>
    <w:p w:rsidR="00E03AD3" w:rsidRPr="008F06A0" w:rsidRDefault="00E03AD3" w:rsidP="00A11CDF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Per le contro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versie di valore indeterminato </w:t>
      </w:r>
      <w:proofErr w:type="gramStart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o  indeterminabile</w:t>
      </w:r>
      <w:proofErr w:type="gramEnd"/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,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>si tiene particolare conto dell'oggetto e  della  complessit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à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delle</w:t>
      </w:r>
      <w:r w:rsidR="008F06A0"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stesse. </w:t>
      </w:r>
    </w:p>
    <w:p w:rsidR="008F06A0" w:rsidRDefault="008F06A0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Art. 3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Parametri specifici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1. I compensi delle prestazioni dei medici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veterinari,  farmacisti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,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psicologi, infermieri, ostetriche e tecnici  sanitari  di  radiologia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medica sono determinati sulla base dei seguenti parametri: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a) costo del lavoro, che si compone di: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1) costo del personale tecnico (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  fisso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),  comprensivo  di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oneri a carico del datore  di  lavoro,  eventualmente  impiegato  per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l'esecuzione della prestazione. La formula tiene conto che il massimo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«tasso di occupazione» effettivamente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raggiungibile  per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l'operatore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è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stimabile nell'80 per cento del  tempo  teoricamente  disponibile: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medio orario (tempo impiegato per singola prestazione/0,8);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2)  costo   medio   del   professionista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(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   variabile).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Rappresenta la remunerazione «di base» attesa dal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professionista  per</w:t>
      </w:r>
      <w:proofErr w:type="gramEnd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il tempo dedicato alla prestazione;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b)    costo    della    tecnologia    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sanitaria,   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comprensivo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dell'ammortamento delle attrezzature e della  manutenzione,  come  di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seguito indicato: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1) ammortamento dell'attrezzatura (costo fisso) che pu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ò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essere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valutato come segue: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1.1) bassa tecnologia (basso costo):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valore  forfettario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per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prestazione;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1.2)   alta    tecnologia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(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alto    costo):    il    valore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dell'ammortamento deve essere  valutato  analiticamente  in  base  a: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di acquisto; vita utile  dell'attrezzatura  (anni);  numero  di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prestazioni attese per anno;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1.3) ammortamento per prestazione: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  di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acquisto/numero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anni di vita utile/numero prestazioni anno;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2) manutenzione dell'attrezzatura: 8-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10  per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cento  annuo  del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valore di acquisto dell'attrezzatura, da suddividere  per  il  numero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atteso di prestazioni;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c) consumi, per i quali si distinguono i seguenti due casi: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1)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  variabile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,  nel  caso  in  cui  ad  ogni  prestazione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corrisponda un consumo predeterminato di materiali.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In  tal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caso  il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 per prestazione viene determinato sulla  base  delle  quantit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à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unitarie di ogni materiale moltiplicate  per  i  relativi  prezzi  di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mercato;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2)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costo  semi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-variabile:  </w:t>
      </w:r>
      <w:proofErr w:type="spell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il  caso  che  si  presenta  per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l'utilizzo di «kit» diagnostici. Il costo unitario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viene  determinato</w:t>
      </w:r>
      <w:proofErr w:type="gramEnd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suddividendo il costo del kit per il numero atteso di esami per  ogni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kit;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d) costi generali, che includono: segreteria affitto/ammortamento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dell'acquisto dei locali, utenze, materiali non sanitari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di  consumo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,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assicurazioni,  e  altro. 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Tali  costi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possono  essere   valorizzati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forfettariamente  nella  misura  del   20   per   cento   dei   costi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precedentemente calcolati;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e) margine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atteso,  inteso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quale  componente  del  compenso  che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remunera: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1) il rischio imprenditoriale, che </w:t>
      </w:r>
      <w:proofErr w:type="spell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e'</w:t>
      </w:r>
      <w:proofErr w:type="spellEnd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proporzionale all'entità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dei costi fissi di cui il prof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essionista deve dotarsi </w:t>
      </w:r>
      <w:proofErr w:type="gramStart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e  può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essere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stimato in ragione del 4 per cento del valore dei costi  fissi  sopra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calcolati (incluso il valore dell'investimento in attrezzature);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2) la complessità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caso trattato calcolata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sulla  base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del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seguente criterio: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2.1) bassa complessità: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moltiplicatore =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0  (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nessun  margine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aggiuntivo rispetto ai precedenti);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2.2) media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complessità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: moltiplicatore = l;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2.3) alta </w:t>
      </w:r>
      <w:proofErr w:type="gramStart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complessità</w:t>
      </w:r>
      <w:r w:rsidR="008F06A0"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: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moltiplicatore = 2. </w:t>
      </w:r>
    </w:p>
    <w:p w:rsidR="008F06A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                         </w:t>
      </w:r>
    </w:p>
    <w:p w:rsidR="008F06A0" w:rsidRDefault="008F06A0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Art. 4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Maggiorazioni e riduzioni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Per  le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pratiche  di  eccezionale  importanza, 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complessità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difficoltà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, ovvero per le  prestazioni  compiute  in  condizioni  di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particolare urgenza,  al  compenso  del  professionista  pu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ò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essere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applicata una maggiorazione fino al 100 per cento rispetto  a  quella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massima altrimenti liquidabile ai sensi del presente regolamento.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Art. 5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Disposizioni finanziarie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1. Dall'attuazione del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presente  regolamento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non  devono  derivare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nuovi o maggiori oneri a carico della finanza pubblica.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Art. 6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Disposizioni finali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Le disposizioni di cui al presente regolamento si applicano alle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liquidazioni successive alla sua entrata in vigore.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Art. 7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Entrata in vigore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8F06A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Il presente decreto entra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in  </w:t>
      </w:r>
      <w:bookmarkStart w:id="0" w:name="_GoBack"/>
      <w:bookmarkEnd w:id="0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vigore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il  giorno  successivo  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quello  della  sua  pubblicazione  nella  Gazzetta  Ufficiale   della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Repubblica italiana.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Il presente decreto, munito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del sigillo dello Stato, sarà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inserito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nella Raccolta ufficiale degli atti normativi della Repubblica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Italiana. E' fatto obbligo a chiunque spetti di osservarlo e di farlo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osservare. </w:t>
      </w:r>
    </w:p>
    <w:p w:rsidR="008F06A0" w:rsidRDefault="008F06A0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Roma, 19 luglio 2016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</w:p>
    <w:p w:rsidR="00E03AD3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Il Ministro: Lorenzin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Visto, il Guardasigilli: Orlando </w:t>
      </w:r>
    </w:p>
    <w:p w:rsidR="00E03AD3" w:rsidRPr="007D2410" w:rsidRDefault="00E03AD3" w:rsidP="007D2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Registrato alla Corte dei conti l'11 agosto 2016 </w:t>
      </w:r>
    </w:p>
    <w:p w:rsidR="008F06A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Ufficio controllo atti MIUR,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MIBAC,  Min.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salute  e</w:t>
      </w:r>
      <w:proofErr w:type="gram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Min.  </w:t>
      </w: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lavoro  e</w:t>
      </w:r>
      <w:proofErr w:type="gramEnd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politiche sociali, reg.ne </w:t>
      </w:r>
      <w:proofErr w:type="spell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>prev</w:t>
      </w:r>
      <w:proofErr w:type="spellEnd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. n. 3341 </w:t>
      </w:r>
    </w:p>
    <w:p w:rsidR="00990332" w:rsidRPr="007D2410" w:rsidRDefault="00E03AD3" w:rsidP="008F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sz w:val="24"/>
          <w:szCs w:val="24"/>
        </w:rPr>
      </w:pPr>
      <w:proofErr w:type="gramStart"/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Allegato </w:t>
      </w:r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>:</w:t>
      </w:r>
      <w:proofErr w:type="gramEnd"/>
      <w:r w:rsidR="008F06A0"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7D2410">
        <w:rPr>
          <w:rFonts w:eastAsia="Times New Roman" w:cs="Courier New"/>
          <w:color w:val="000000"/>
          <w:sz w:val="24"/>
          <w:szCs w:val="24"/>
          <w:lang w:eastAsia="it-IT"/>
        </w:rPr>
        <w:t xml:space="preserve">   </w:t>
      </w:r>
      <w:r w:rsidRPr="007D2410">
        <w:rPr>
          <w:rFonts w:eastAsia="Times New Roman" w:cs="Courier New"/>
          <w:color w:val="000000"/>
          <w:sz w:val="24"/>
          <w:szCs w:val="24"/>
          <w:bdr w:val="none" w:sz="0" w:space="0" w:color="auto" w:frame="1"/>
          <w:lang w:eastAsia="it-IT"/>
        </w:rPr>
        <w:t>Parte di provvedimento in formato grafico</w:t>
      </w:r>
      <w:r w:rsidR="008F06A0">
        <w:rPr>
          <w:rFonts w:eastAsia="Times New Roman" w:cs="Courier New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sectPr w:rsidR="00990332" w:rsidRPr="007D241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5659"/>
    <w:multiLevelType w:val="hybridMultilevel"/>
    <w:tmpl w:val="DF5EB984"/>
    <w:lvl w:ilvl="0" w:tplc="10E8EB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16067BE"/>
    <w:multiLevelType w:val="hybridMultilevel"/>
    <w:tmpl w:val="25348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D3"/>
    <w:rsid w:val="002A7620"/>
    <w:rsid w:val="00321185"/>
    <w:rsid w:val="006A7150"/>
    <w:rsid w:val="007D2410"/>
    <w:rsid w:val="008F06A0"/>
    <w:rsid w:val="00990332"/>
    <w:rsid w:val="00B9725B"/>
    <w:rsid w:val="00E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1131-480C-45DD-B5AC-0A1D11E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03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3AD3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3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3AD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riferimento">
    <w:name w:val="riferimento"/>
    <w:basedOn w:val="Carpredefinitoparagrafo"/>
    <w:rsid w:val="00E03AD3"/>
  </w:style>
  <w:style w:type="character" w:customStyle="1" w:styleId="righetta">
    <w:name w:val="righetta"/>
    <w:basedOn w:val="Carpredefinitoparagrafo"/>
    <w:rsid w:val="00E03AD3"/>
  </w:style>
  <w:style w:type="character" w:customStyle="1" w:styleId="righettadx">
    <w:name w:val="righetta_dx"/>
    <w:basedOn w:val="Carpredefinitoparagrafo"/>
    <w:rsid w:val="00E03AD3"/>
  </w:style>
  <w:style w:type="paragraph" w:styleId="Paragrafoelenco">
    <w:name w:val="List Paragraph"/>
    <w:basedOn w:val="Normale"/>
    <w:uiPriority w:val="34"/>
    <w:qFormat/>
    <w:rsid w:val="007D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 Bufalo</dc:creator>
  <cp:keywords/>
  <dc:description/>
  <cp:lastModifiedBy>Laura</cp:lastModifiedBy>
  <cp:revision>4</cp:revision>
  <dcterms:created xsi:type="dcterms:W3CDTF">2016-08-31T05:45:00Z</dcterms:created>
  <dcterms:modified xsi:type="dcterms:W3CDTF">2016-08-31T06:05:00Z</dcterms:modified>
</cp:coreProperties>
</file>